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Симаева Мария Андреевна (далее – Симаева М.А.) обратилась в Арбитражный суд Орловской области с исковым заявлением к индивидуальному предпринимателю Солосовскому Сергею Борисовичу (далее – Солосовский С.Б.) о взыскании неосновательного обогащения в размере 1 753 700 руб., составляющих стоимость комплектов для изготовления памятников в размере 1 325 400 руб. и стоимость нанесения гравировки, доработки памятников, пользования станком в размере 428 300 руб. Решением Арбитражного суда Орловской области с Солосовского С.Б. в пользу Симаевой М.А. взыскано неосновательное обогащение в размере 1 073 293 руб., в удовлетворении остальной части требований отказано. Девятнадцатый арбитражный апелляционный суд определением от 12.11.2020 перешел к рассмотрению дела по общим правилам искового производства, установленным Арбитражным процессуальным кодексом Российской Федерации для рассмотрения дела в арбитражном суде первой инстанции, привлек к участию в деле в качестве третьего лица, не заявляющего 2 самостоятельных требований относительно предмета спора, Плынского Юрия Васильевича. Постановлением Девятнадцатого арбитражного апелляционного суда от 25.03.2021 решение суда первой инстанции отменено, в удовлетворении исковых требований отказано. Постановлением Арбитражного суда Центрального округа от 14.07.2021 постановление суда апелляционной инстанции оставлено без изменения. В кассационной жалобе, поданной в Верховный Суд Российской Федерации, Симаева М.А.,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апелляционной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отказывая в удовлетворении исковых требований, суд апелляционной инстанции руководствовался статьями 1102, 1103 Гражданского кодекса Российской Федерации, разъяснениями, изложенными в информационном письме Высшего Арбитражного Суда Российской Федерации от 11.01.2000 № 49 «Обзор практики рассмотрения споров, связанных с применением норм о неосновательном обогащении», 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исходил из недоказанности истцом факта поставки ответчику комплектов для изготовления памятников, выполнения работ (оказания услуг) и их принятия последним. Суд округа поддержал выводы апелляционного суда. Доводы кассационной жалобы фактически сводятся к изложению обстоятельств дела, которые были предметом исследования, не опровергают приведенные выводы судов, не подтверждают существенных нарушений ими норм материального и (или) процессуального права и не являются достаточным основанием для передачи жалобы на рассмотрение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индивидуального предпринимателя Симаевой Марии Андреевны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