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банк обратился в суд с заявлением о разрешении разногласий относительно очерёдности удовлетворения требований Акопова Георгия Георгиевича, включенных в реестр требований кредиторов должника; признании требований Акопова Г.Г. подлежащими удовлетворению в очерёдности, предшествующей распределению ликвидационной квоты. Определением Арбитражного суда Краснодарского края от 23.03.2021, оставленным без изменения постановлениями Пятнадцатого арбитражного апелляционного суда от 06.06.2021 и Арбитражного суда Северо-Кавказского округа от 16.08.2021,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акты, удовлетворить заявление банка.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пунктом 17 Обзора судебной практики Верховного Суда Российской Федерации № 3 (2020), утверждённом Президиумом Верховного Суда Российской Федерации 25.11.2020, исходили из отсутствия оснований для субординации требований Акопова Г.Г. ввиду заключения сделок по уступке прав требования к должнику после возбуждения дела о банкротстве последнего.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«Российский Сельскохозяйственный банк»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