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Захаров В.В. обратился в суд с заявлением о включении в реестр требований кредиторов должника (далее – реестр) задолженности в размере 77 429 938 рублей 36 копеек. Определением Арбитражного суда города Москвы от 18.02.2021, оставленным без изменения постановлениями Девятого арбитражного апелляционного суда от 28.04.2021 и Арбитражного суда Московского округа от 19.07.2021, требования заявителя признаны обоснованными и подлежащими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названные судебные акты в части установления очерёдности удовлетворения его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71 и 100 Закона о банкротстве, позициями, изложенными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Российской Федерации 29.01.2020, исходили из наличия оснований для субординации требований Захарова В.В.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Захарову Вадиму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