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Саратовской области от 30.11.2020, оставленным без изменения постановлением Двенадцатого арбитражного 2 апелляционного суда от 19.03.2021, в удовлетворении исковых требований отказано. Постановлением Арбитражного суда Поволжского округа от 29.07.2021 решение суда первой инстанции и постановление суда апелляционной инстанции отменены, дело направлено на новое рассмотрение в Арбитражный суд Саратовской области. В кассационной жалобе, поданной в Верховный Суд Российской Федерации, фонд, ссылаясь на нарушения судом округа норм материального и процессуального права, просит отменить постановление суда округа, оставить в силе решение суда первой инстанции и постановление суда апелляционной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Суд округа отменил решение суда первой и постановление суда апелляционной инстанций и направил дело на новое рассмотрение, действуя в пределах полномочий, предоставленных ему статьей 287 Арбитражного процессуального кодекса Российской Федерации. При этом суд округа указал, что при новом рассмотрении дела суду первой инстанции следует установить все обстоятельства, входящие в предмет доказывания, и, соответственно, установить правомерность требований истца, исследовать вопрос качества и объема всех оказанных истцом услуг в спорный период, обоснованность и правомерность замечаний по объему и качеству оказанных услуг, дать оценку представленным сторонами доказательствам и 3 разрешить спор при правильном применении норм материального и процессуального права, а также распределить судебные расходы, в том числе по кассационной жалобе. Изучив изложенные в кассационной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Поскольку заявитель в силу части 1 статьи 41 Арбитражного процессуального кодекса Российской Федерации не лишен возможности приводить свои доводы по всем возникающим в ходе рассмотрения дела вопросам, представлять доказательства, а также отстаивать свою позицию доступными процессуальными способами при новом рассмотрении дела, основания для передачи жалобы для рассмотрения в судебном заседании Судебной коллегии по экономическим спорам Верховного Суда Российской Федерации обжалуемого судебного акта в порядке кассационного производства отсутствуют. Учитывая изложенное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