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Шамсутдинов А.Х. обратился в Арбитражный суд Республики Башкортостан с заявлением о признании недействительным договора от 06.02.2015, заключенного должником и Соболем М.Н. Впоследствии определением Арбитражного суда Республики Башкортостан от 26.06.2020 Шамсутдинов А.Х. освобожден от исполнения обязанностей конкурсного управляющего должником. Определением Арбитражного суда Республики Башкортостан от 10.02.2021 новым конкурсным управляющим утвержден Гирфанов Р.А. Определением Арбитражного суда Республики Башкортостан от 26.03.2021 принят отказ конкурсного управляющего Гирфанова Р.А. от заявления о признании сделки недействительной, производство по заявлению прекращено на основании пункта 4 части 1 статьи 150 Арбитражного процессуального кодекса Российской Федерации. Постановлением Восемнадцатого арбитражного апелляционного суда от 18.05.2021, оставленным без изменения постановлением Арбитражного суда Уральского округа от 12.07.2021, определение суда первой инстанции о прекращении производства по заявлению отменено, дело направлено на новое рассмотрение. 2 Не согласившись с постановлениями апелляционного суда и арбитражного суда округа, конкурный управляющий Гирфанов Р.А. обратился в Верховный Суд Российской Федерации с кассационной жалобой, в которой просит оспариваемые постановления отменить и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состоявшихся по обособленному спору, доводов жалобы и представленных документов, не установлено. Отменяя определение суда первой инстанции, апелляционный суд учел правовую позицию, изложенную в определении Судебной коллегии Верховного Суда Российской Федерации от 17.03.2021 № 302-ЭС20-19914 (отраженную в пункте 21 Обзора судебной практики Верховного Суда Российской Федерации № 2 (2021), утвержденного Президиумом Верховного Суда Российской Федерации 30.06.2021), и пришел к выводу о том, что, поскольку заявление о признании сделки недействительной подано в интересах конкурсных кредиторов должника, немотивированный отказ от заявленного требования может привести к нарушению их прав и законных интересов. С такими выводами согласился арбитражный суд округа. Доводы конкурсного управляющего должником, в том числе, об отсутствии у Балышева П.В. процессуальных прав на обращение с апелляционной жалобой являлись предметом рассмотрения в судах апелляционной инстанции и округа и получили правовую оценку. Существенных нарушений норм права судами апелляционной инстанции и округа не допущено, оснований для передачи жалобы на рассмотрение судебной коллегии не имеется. Учитывая изложенное,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