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13.09.2021 направил в Верховный Суд Российской Федерации кассационную жалобу на указанные судебные акты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Кодекса арбитражный суд восстанавливает пропущенный процессуальный срок, если признает причины пропуска уважительными. Оценив приведенные причины пропуска процессуального срока, учитывая основания первоначального возврата кассационной жалобы,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о восстановлении пропущенного срока удовлетворить, срок на подачу кассационной жалобы восстановить. Судья Верховного Суда Российской Федерации А.Г. Першутов Суд: Верховный Суд РФ (подробнее) Ответчики: Управление Федеральной службы по надзору в сфере защиты прав потребителей и благополучия человека по Тамбовской области (подробнее) Иные лица: 19 Арбитражный апелляционный суд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