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23.03.2021 заявленные требования удовлетворены. 2 Не согласившись с решением суда первой инстанции, общество в порядке статьи 42 Арбитражного процессуального кодекса Российской Федерации обжаловало его в апелляционном порядке. Определением Девятого арбитражного апелляционного суда от 25.05.2021, оставленным без изменения постановлением Арбитражного суда Московского округа от 12.07.2021, производство по апелляционной жалобе прекращено на основании пункта 1 части 1 статьи 150 Арбитражного процессуального кодекса Российской Федерации. Общество обратилось в Верховный Суд Российской Федерации с кассационной жалобой и дополнениями к ней, в которых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Апелляционный суд пришел к выводу о том, что судебным актом по существу спора не затронуты права и обязанности общества, не привлеченного к участию в деле, в судебном акте отсутствуют какие-либо выводы о правах данного лица, какие-либо обязанности на него также не возложены, в связи с чем последний не обладает правом на обжалование решения суда первой инстанции.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3 В кассационной жалобе не указано, чем в рассматриваемом случае нарушены права и законные интересы общества и какой защите они подлежат. Доводы жалобы были предметом исследования суда кассационной инстанции и мотивированно отклонены, поскольку выводы суда по настоящему делу о незаконности постановления административного органа не предрешают результат рассмотрения дела о взыскании убытков в отношении заявителя, так как являются различными по предметам доказывания. Ссылка заявителя на судебную практику не может быть принята во внимание в связи с наличием иных фактических обстоятельств по делу. С учетом изложенного в данном конкретном случае приведенные заявителем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