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«Ургалуголь» обратилось в Арбитражный суд города Москвы с заявлением о включении его требования в размере 437 276 200 рублей в реестр требований кредиторов должника. Определением Арбитражного суда города Москвы от 07.12.2020, оставленным без изменения постановлением Девятого арбитражного апелляционного суда от 05.04.2021, заявление удовлетворено. Арбитражный суд Московского округа постановлением от 13.07.2021 определение суда первой инстанции и постановление апелляционного суда отменил и направил спор на новое рассмотрение в Арбитражный суд города Москвы. Не согласившись с постановлением суда округа, общество «Ургалуголь» обратилось в Верховный Суд Российской Федерации с кассационной жалобой, в которой просит названное постановление отменить.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судебного акта, состоявшегося по обособленному спору, доводов жалобы и представленных документов, не установлено. Направляя обособленный спор на новое рассмотрение, суд округа исходил из того, что судами первой и апелляционной инстанций не исследованы все фактические обстоятельства, касающиеся отказа должника от исполнения договора генерального подряда, устранимого либо неустранимого характера выявленных дефектов на объекте и вины лица, их допустившего.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Окончательных выводов по существу спора в постановлении суда округа не содержится. Заявитель не лишен возможности изложить свою позицию при новом рассмотрении спора со ссылками на нормы права и имеющиеся доказательства. При таких обстоятельствах не имеется оснований для передачи жалобы на рассмотрение судебной коллегии.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