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Пономарев А.Ю. обратился с заявлением о признании недействительным зачета встречных однородных требований от 30.08.2017 на сумму 1 544 749 рублей 48 копеек по договору поставки продукции от 11.05.2017 № 65, заключенному должником и закрытым акционерным обществом «Карбон Инвест», и применении последствий недействительности сделки. Определением Арбитражного суда Самарской области от 12.02.2021, оставленным без изменения постановлением Одиннадцатого арбитражного апелляционного суда от 30.04.2021, заявление удовлетворено. Арбитражный суд Поволжского округа постановлением от 22.07.2021 отменил определение суда первой инстанции и постановление апелляционного суда и в удовлетворении заявленных требований отказал. Конкурсный управляющий должником обратился в Верховный Суд Российской Федерации с кассационной жалобой на состоявшееся по обособленному спору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доводов кассационной жалобы заявителя и представленных им документов, не установлено. Отказывая в удовлетворении заявленных требований, арбитражный суд округа руководствовался положениями статей 61.3, 61.9 Федерального закона от 26.10.2002 № 127-ФЗ «О несостоятельности (банкротстве)», статей 181, 199 Гражданского кодекса Российской Федерации, разъяснениями, изложенными в пункте 32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на основании оценки, произведенной судами первой и апелляционной инстанций по правилам статьи 71 Арбитражного процессуального кодекса Российской Федерации представленных доказательств и фактических обстоятельств спора, пришел к выводу о том, что конкурсным управляющим пропущен годичный срок исковой давности, что является самостоятельным основанием для отказа в удовлетворении заявления. При этом, отклоняя доводы, аналогичные приведенным в кассационной жалобе, суд округа указал, что в силу положений пункта 6 статьи 20.3 Федерального закона «О несостоятельности (банкротстве)» утвержденные арбитражным судом арбитражные управляющие являются процессуальными правопреемниками предыдущих арбитражных управляющих, которые должны добросовестно исполнять свои обязанности, в том числе, в части принятия мер к истребованию всей документации должника и взысканию дебиторской задолженности. Доводы кассационной жалобы не свидетельствуют о наличии существенных нарушений норм материального права и (или) норм процессуального права. С учетом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