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Омской области от 15.03.2021 удовлетворено заявление Касаткина А.В. о намерении погасить требования кредиторов к должнику. Определением Арбитражного суда Омской области от 14.04.2021 требования кредиторов признаны погашенными в полном объеме, в связи с чем определением от 28.04.2021 производство по делу о банкротстве должника прекращено. Постановлениями Восьмого арбитражного апелляционного суда от 18.06.2021 и Арбитражного суда Западно-Сибирского округа от 13.08.2021 определение суда первой инстанции от 28.04.2021 оставлено без изменения. В кассационной жалобе, поданной в Верховный Суд Российской Федерации, общество «Современные технологии» просит отменить состоявшиеся определение и постановления судов о прекращении производства по делу.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Прекращая производство по делу о банкротстве, суды руководствовались положениями абзаца 7 пункта 1 статьи 57 Федерального закона от 26.10.2002 № 127-ФЗ «О несостоятельности (банкротстве)», разъяснениями, изложенными в пункте 11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требования всех конкурсных кредиторов должника погашены третьим лицом (руководителем должника), а также учли, что погашение текущих платежей для прекращения дела по данному основанию не требуется. Арбитражный суд округа согласился с выводами судов.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