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Саратовской области от 17.12.2020, оставленным без изменения постановлением Двенадцатого арбитражного апелляционного суда от 17.03.2021, в удовлетворении исковых требований отказано. Постановлением Арбитражного суда Поволжского округа от 09.08.2021 решение суда первой инстанции и постановление суда апелляционной инстанции отменены, дело направлено на новое рассмотрение в Арбитражный суд Саратовской области. В кассационной жалобе, поданной в Верховный Суд Российской Федерации, фонд, ссылаясь на нарушения судом округа норм материального и процессуального права, просит отменить постановление суда округа, оставить в силе решение суда первой инстанции и постановление суда апелляционной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также, если указанные доводы не находят подтверждения в материалах дела. Суд округа отменил решение суда первой и постановление суда апелляционной инстанций и направил дело на новое рассмотрение, действуя в пределах полномочий, предоставленных ему статьей 287 Арбитражного процессуального кодекса Российской Федерации. При этом суд округа указал, что при новом рассмотрении дела суду первой инстанции следует установить все обстоятельства, входящие в предмет доказывания, и, соответственно, установить правомерность требований истца, 3 исследовать вопрос качества и объема всех оказанных истцом услуг в спорный период, обоснованность и правомерность замечаний по объему и качеству оказанных услуг, дать правовую оценку представленным сторонами доказательствам и разрешить спор при правильном применении норм материального и процессуального права, а также распределить судебные расходы, в том числе по кассационной жалобе. Изучив изложенные в кассационной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Поскольку заявитель в силу части 1 статьи 41 Арбитражного процессуального кодекса Российской Федерации не лишен возможности приводить свои доводы по всем возникающим в ходе рассмотрения дела вопросам, представлять доказательства, а также отстаивать свою позицию доступными процессуальными способами при новом рассмотрении дела, основания для передачи жалобы для рассмотрения в судебном заседании Судебной коллегии по экономическим спорам Верховного Суда Российской Федерации обжалуемого судебного акта в порядке кассационного производства отсутствуют. Учитывая изложенное и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