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Мариничева А.В. обратилась в суд с заявлением о разрешении разногласий и об утверждении положения о порядке, условиях и сроках реализации имущества должника (далее – положение). Определением Арбитражного суда города Москвы от 05.07.2019 разрешены разногласий, утверждено положение. Постановлением Девятого арбитражного апелляционного суда от 20.09.2019, оставленным без изменения постановлением Арбитражного суда Московского округа от 26.11.2019, изменено определение суда первой инстанции от 05.07.2019, определение отменено в части утверждения пункта 17 положения в редакции конкурсного управляющего должником об определении в составе расходов на обеспечение сохранности предмета залога и его реализации на торгах налога на имущество и земельного налога, отказано в утверждении пункта 17 положения в редакции конкурсного управляющего должником, в остальной части определение суда оставлено без изменения. Впоследствии конкурсный управляющий обратилась в суд с заявлением о пересмотре постановления Девятого арбитражного апелляционного суда от 20.09.2019 по новым и вновь открывшимся обстоятельствам. 2 Постановлением Девятого арбитражного апелляционного суда от 02.06.2021, оставленным без изменения постановлением Арбитражного суда Московского округа от 16.08.2021,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о пересмотре.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апелляционной инстанции, руководствуясь статьёй 311 Арбитражного процессуального кодекса Российской Федерации, пунктом 11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обоснованно исходил из недоказанности наличия оснований для удовлетворения заявления о пересмотре судебного акта.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«Вуд Концепт» Мариничевой Анне Валерьевне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