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Левша А.В. обратился в суд с заявлением об установлении требований кредитора в размере 17 622 410 рублей. Определением Арбитражного суда Тульской области от 16.10.2020, оставленным без изменения постановлениями Двадцатого арбитражного апелляционного суда от 20.01.2021 и Арбитражного суда Центрального округа от 08.07.2021,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и 142 Федерального закона от 26.10.2002 № 127-ФЗ «О несостоятельности (банкротстве)», пунктом 26 постановления Пленума Высшего Арбитражного Суда РФ от 22.06.2012 № 35 «О некоторых процессуальных вопросах, связанных с рассмотрением дел о банкротстве», исходили из отсутствия оснований для удовлетворения заявления ввиду отсутствия надлежащих доказательств реальности отношений, положенных в основу требований Левши А.В., а также их экономической целесообразности, указав, что действия Левши А.В. имеют признаки недобросовестности и противоправности.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Левше Андрею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