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«Агентство старинных развлечений «Ратоборцы» обратилось в Арбитражный суд города Москвы с иском о взыскании с автономной некоммерческой организации «Конгрессно- выставочное бюро города Москвы» 10 061 618 рублей 38 копеек задолженности по договору на оказание услуг от 31.07.2019 № ВЭ/001-06.20. Судом принят встречный иск автономной некоммерческой организации «Конгрессно-выставочное бюро города Москвы» к обществу с ограниченной ответственностью «Агентство старинных развлечений «Ратоборцы» о взыскании 15 283 511 рублей 31 копейки неосновательного обогащения. К участию в деле в качестве третьего лица, не заявляющего самостоятельных требований относительно предмета спора, привлечен Департамент торговли и услуг города Москвы. Решением Арбитражного суда города Москвы от 29.03.2021 первоначальный иск удовлетворен, в удовлетворении встречного иска отказано. Постановлением Девятого арбитражного апелляционного суда от 02.07.2021 решение суда первой инстанции оставлено без изменения. 2 Арбитражный суд Московского округа постановлением от 20.09.2021 указанные судебные акты отменил и направил дело на новое рассмотрение в Арбитражный суд города Москвы. Общество с ограниченной ответственностью «Агентство старинных развлечений «Ратоборцы»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«Агентство старинных развлечений «Ратоборцы»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