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10.03.2021, оставленным без изменения постановлением Одиннадцатого арбитражного апелляционного суда от 28.04.2021 и постановлением Арбитражного суда Поволжского округа от 10.08.2021, заявленные требования удовлетворены. Управление обратилось в Верховный Суд Российской Федерации с кассационной жалобой, в которой просит принятые по делу судебные акты отменить, направить дело на новое рассмотрение в арбитражный суд.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эксплуатации учреждением построенного объекта капитального строительства (автомобильная дорога) без разрешения на ввод объекта в эксплуатацию, в нарушение положений части 2 статьи 55.24 Градостроительного кодекса Российской Федерации. Частью 5 статьи 9.5 КоАП РФ предусмотрена административная ответственность за эксплуатацию объекта капитального строительства без разрешения на ввод его в эксплуатацию, за исключением случаев, если для осуществления строительства, реконструкции, капитального ремонта объектов капитального строительства не требуется выдача разрешения на строительство. Исследовав и оценив представленные в материалы дела доказательства в их совокупности и взаимосвязи, руководствуясь положениями КоАП РФ, Градостроительного кодекса Российской Федерации,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 установив наличие оснований для временной эксплуатации построенного объекта, суды первой и апелляционной инстанций пришли к 3 выводу об отсутствии в действиях учреждения состава административного правонарушения, предусмотренного частью 5 статьи 9.5 КоАП РФ. Указанный вывод был поддержан судом округа. Несогласие управления с оценкой имеющихся в деле доказательств и с толкованием судами норм законодательства, подлежащих применению к рассматриваемым правоотношениям, не свидетельствует о необходимости отмены принятых по делу судебных актов. Судебная практика, на которую ссылается управление в обоснование своих доводов, не может быть принята во внимание в связи с наличием иных обстоятельств рассматриваемого дела. Доводы жалобы повторяют позицию управления по делу, не подтверждают существенных нарушений норм материального и (или) процессуального права, которые могли бы повлиять на исход дела и являться достаточным основанием для пересмотра обжалуемых судебных актов в порядке кассационного производства.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