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города Москвы от 12.04.2021 завершена процедура реализации имущества Воронкова Андрея Евгеньевича, в отношении должника применены правила об освобождении от дальнейшего исполнения требований кредиторов, в том числе требований, не заявленных при введении реструктуризации долгов гражданина или процедуры реализации имущества гражданина. Постановлением Девятого арбитражного апелляционного суда от 01.06.2021 определение суда первой инстанции оставлено без изменения. Арбитражный суд Московского округа постановлением от 03.08.2021 указанные судебные акты отменил в части применения в отношении должника правила об освобождении от исполнения обязательств перед кредиторами и в указанной части направил дело на новое рассмотрение в Арбитражный суд города Москвы. Воронков Андрей Евгеньевич обратился в Судебную коллегию по экономическим спорам Верховного Суда Российской Федерации с кассационной 2 жалобой на постановление окружного суда в порядке, предусмотренном статьями 291.1-291.3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в части наличия оснований для освобождения должника от дальнейшего исполнения обязательств и направляя дело в указанной части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окружной суд действовал в пределах полномочий, предусмотренных статьями 287, 288 Арбитражного процессуального кодекса Российской Федерации. Нарушений судом округа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Воронкову Андрею Евгеньевичу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