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городской округ Люберцы Московской области (далее – Администрация) обратилась в Арбитражный суд Московской области с иском к обществу с ограниченной ответственностью «Новострой» (далее – Общество) об истребовании из чужого незаконного владения объекта незавершенного строительства – иное сооружение (детский сад- ясли), степень готовности 22% (кадастровый номер 50:22:0030604:1105), расположенное по адресу: Московская обл., Люберецкий р-н, п. Малаховка, Михневское ш., д. 3 (далее – объект). Решением Арбитражного суда Московской области от 18.09.2019, оставленным без изменения постановлением Десятого арбитражного апелляционного суда от 15.02.2021 и постановлением Арбитражного суда Московского округа от 07.06.2021,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незаконность регистрации права собственности Общества на спорный объект. 2 Администрация полагает, что суд необоснованно отклонил ходатайство об объединении дел № А41-45768/2019 и А41-6506/2019. Заявитель утверждает, что имеет право на получение спорного объекта в собственность, так как является участником инвестиционной деятельности.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Администрацией Люберецкого района, Администрацией городского поселения Малаховка (правопреемник – Администрация) и Обществом (инвестор, застройщик) заключен инвестиционный контракт от 15.09.2010 № 2- 5/75 на комплексную жилую застройку земельного участка, расположенного по адресу: Московская обл., Люберецкий р-н, г.п. Малаховка, Михневское ш., д. 3. Предметом контракта является реализация инвестиционного проекта по комплексной жилой застройке земельного участка с кадастровым номером 50:22:0030604:0020 общей площадью 21,3 га. Условное название инвестиционного проекта - «Малоэтажная жилая застройка с объектами общественного назначения «Малаховское озеро», включающего строительство детского сада на 120 мест общей площадью 1500 кв. м, а также ремонт средней общеобразовательной школы № 47 муниципального образования Люберецкого района Московской области. На момент подписания инвестиционного контракта стороны согласовали, что здание детского сада, ремонтные работы средней общеобразовательной школы, малоэтажное строительство являются отдельными пусковыми комплексами. В соответствии с пунктом 4.3.2 инвестиционного контракта Общество обязуется осуществить строительство и передачу здания детского сада Администрации в состоянии «Shell &amp; Core (под отделку)» в сроки, определенные в пункте 2.2.2. Согласно пункту 2.2.2 инвестиционного контракта, в редакции дополнительного соглашения № 4 срок передачи спорного объекта – ориентировочно до 15.05.2016 года. В силу пункта 3.2 инвестиционного контракта обязательства сторон по контракту прекращаются по выполнении сторонами всех обязательств по 3 контракту, завершении расчетов и оформлении имущественных отношений согласно акту о результатах инвестиционного проекта. В соответствии с пунктом 3.5 инвестиционного контракта в редакции дополнительного соглашения № 4 объект, входящий в состав имущественной доли Администрации, передается с полным пакетом документов, необходимых для регистрации права муниципальной собственности, в том числе с документами, подтверждающими факт создания и содержащими техническое описание объекта (кадастровый и технический паспорт). Как указал истец, Администрацией Люберецкого района и Администрацией городского поселения Малаховка (правопреемник – Администрация) обязательства, предусмотренные пунктами 4.1, 4.2 выполнены в полном объеме. Вместе с тем строительство детского сада в сроки, установленные пунктом 2.2.2 инвестиционного контракта, осуществлено не было. Согласно сведениям из Единого государственного реестра недвижимости за ответчиком 15.05.2017 зарегистрировано право собственности на спорный объект незавершенного строительства степенью готовности 22% (кадастровый номер 50:22:0030604:1105). Изложенные обстоятельства послужили основанием для обращения Администрации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4,12, 301, 302 Гражданского кодекса Российской Федерации, положениями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пункте 34 Постановления Пленума Верховного Суда Российской Федерации «О некоторых вопросах, возникающих в судебной практике при разрешении споров, связанных с защитой права собственности других вещных прав», суды отказали в удовлетворении требований, придя к выводу о том, что Администрацией избран ненадлежащий способ защиты, который не применим к правоотношениям, возникшим из инвестиционного договора. Заключение инвестиционного договора порождает лишь обязательственные отношения между его сторонами и дает им право требовать друг от друга исполнения соответствующего обязательства. В рассматриваемом случае ссылка заявителя на квалификацию требований как о понуждении передать индивидуально-определенную вещь и о государственной регистрации перехода права с учетом разъяснений , изложенных в Постановлении Пленума Верховного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обоснованно отклонена судами , с учетом того, что предметом спора является объект незавершенного строительства при действующем контракте.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городской округ Люберцы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