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27.01.2021, оставленным без изменения постановлением Девятого арбитражного апелляционного суда от 05.04.2021, иск удовлетворен. Постановлением Арбитражного суда Московского округа от 08.07.2021 указанные судебные акты оставлены без изменения. Министерство обратилось в Верховный Суд Российской Федерации с кассационной жалобой, считая состоявшиеся по делу судебные акты незаконными и необоснованными.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и дополнении к ней доводы,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положениями статей 309 , 310 , 702 , 711 , 746 , 753 , 1102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суды удовлетворили иск, установив, что ответчик пользуется результатом выполненных работ, однако уклоняется от их оплаты в отсутствие претензий по качеству, объему, стоимости. Доводы жалобы были предметом исследования судов и получили исчерпывающую правовую оценку с учетом конкретных установленных обстоятельств, не согласиться с которыми по доводам жалобы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ФГУП "13 СУДОРЕМОНТНЫЙ ЗАВОД ЧЕРНОМОРСКОГО ФЛОТА" МИНИСТЕРСТВА ОБОРОНЫ РОССИЙСКОЙ ФЕДЕРАЦИИ (подробнее) Ответчики: Министерство обороны Российской Федерации (подробнее) Судьи дела: Першутов А.Г.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