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28.12.2020, оставленным без изменения постановлением Восемнадцатого арбитражного апелляционного суда от 09.03.2021, оспариваемое постановление изменено, 2 назначенное наказание в виде административного штрафа снижено до 250 000 рублей. Постановлением Арбитражного суда Уральского округа от 08.07.2021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изменить в части выводов о наличии оснований для снижения штрафа, в удовлетворении заявленных требований отказать, ссылаясь на неправильное применение судами положений части 3.2 статьи 4.1 Кодекса Российской Федерации об административных правонарушениях. При изучении доводов жалобы и принятых по делу судебных актов таких оснований не установлено. Как следует из судебных актов, административным органом выявлено, что строительство объекта начато обществом без оформленного в установленном порядке разрешения на строительство. Оценив представленные доказательства, руководствуясь положениями статей 51, 52 Градостроительного кодекса Российской Федерации, суды пришли к выводу о наличии в действиях общества состава правонарушения, ответственность за совершение которого предусмотрена частью 1 статьи 9.5 Кодекса Российской Федерации об административных правонарушениях, однако установили основания для снижения назначенного административным органом наказания ниже низшего размера санкции нормы.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 с учетом установленных обстоятельств, свидетельствующих о том, что наложение административного штрафа в установленном административным органом размере не отвечает целям административной ответственности и с очевидностью влечет избыточное ограничение прав юридического лица, не согласиться с которой оснований не имеется. 3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