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17.03.2020 в удовлетворении требований отказано. Постановлением Тринадцатого арбитражного апелляционного суда от 01.06.2021 решение суда первой инстанции отменено, общество привлечено к административной ответственности по части 1 статьи 14.10 Кодекса Российской Федерации об административных правонарушениях и ему назначено назначение в виде штрафа в размере 50 000 рублей. 2 Постановлением Суда по интеллектуальным правам от 24.08.2021 постановление суда апелляционной инстанции оставлено без изменения. Общество просит обжалуемые судебные акты отменить, считая их незаконными и необоснованными, оставить в силе решение суда первой инстанции, изъятые товары возвратить.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заявлением послужил выявленный таможенным органом факт незаконного использования обществом чужого товарного знака.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этой статьи. Руководствуясь положениями статей 1229, 1482, 1484 Гражданского кодекса Российской Федерации, суд апелляционной инстанции отменил решение суда первой инстанции, пришел к выводу о наличии в действиях общества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правонарушениях, исходя из установленных обстоятельств, свидетельствующих об использовании обществом на товаре, ввезенном в Российскую Федерацию для последующей реализации, обозначений, сходных до степени смешения с товарными знаками, для индивидуализации однородных товаров и без разрешения правообладателя. 3 Вина общества в совершении правонарушения установлена. Отсутствуют доказательства того, что обществом были приняты все зависящие от него меры по соблюдению установленных законодательством требований. Процедура и срок давности привлечения к ответственности соблюдены, оснований для признания правонарушения малозначительным или замены штрафа на предупреждение не установлено. Доводы жалобы повторяют позицию общества по делу, направлены на переоценку доказательств и установление иных фактических обстоятельств дела, в том числе, относительно тождества обозначения. Доводы заявителя о нарушении судом апелляционной инстанции норм процессуального права в связи с немотивированным принятием дополнительных доказательств не могут служить основанием для отмены судебных актов с учетом разъяснений, изложенных в пункте 29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