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05.06.2020 в удовлетворении требований отказано. Постановлением Тринадцатого арбитражного апелляционного суда от 16.03.2021 решение суда первой инстанции отменено, признаны 2 недействительными решения налогового органа от 25.07.2019 № 10-17/31 в части начисления пеней в сумме, превышающей 5 733 045,83 рублей, начисления штрафов в сумме, превышающей 1 440 373,70 рублей; решение от 25.07.2019 № 10-17/32 в части начисления пеней в сумме, превышающей 7 894 968,05 рублей, начисления штрафов в сумме, превышающей 1 463 190,3 рублей; решение от 25.07.2019 № 10-17/33 в части начисления пеней в сумме, превышающей 762 827,8 рублей начисления штрафов в сумме, превышающей 224 818 рублей, в остальной части в удовлетворении требований отказано. Постановлением Арбитражного суда Северо-Западного округа от 05.07.2021 постановление суда апелляционной инстанции оставлено без изменения. Общество в кассационной жалобе и дополнении к ней просит отменить обжалуемые судебные акты,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3 Руководствуясь положениями статей 44, 54, 75, 247, 248, 250, 271 Налогового кодекса Российской Федерации, 166, 167 Гражданского кодекса Российской Федерации, суд апелляционной инстанции отменил решение суда первой инстанции, отказал в удовлетворении требования в обжалуемой части, установив, что в спорный период денежные средства находились у общества и отвечали понятию получения им экономической выгоды, и признав неисполнение обществом обязанности по учету полученных денежных средств. Суд округа согласился с выводами суда апелляционной инстанции. Приведенные в жалобе доводы связаны с оценкой доказательств и установлением фактических обстоятельств по делу, связанных с влиянием недействительности сделки и ее последствий на объект налогообложения,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