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07.10.2020, оставленным без изменения постановлением Одиннадцатого арбитражного апелляционного суда от 07.04.2021, заявленное требование о признании 2 недействительным пункта 2.1.6. решения от 04.10.2019 № 3-6 оставлено без рассмотрения, в остальной части в удовлетворении требований отказано. Постановлением Арбитражного суда Поволжского округа от 21.07.2021 указанные судебные акты оставлены без изменения. Общество просит отменить обжалуемые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54.1, 171, 172, 246, 247, 252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отказали в удовлетворении требований, признав, что налоговый орган доказал направленность действий общества на получение необоснованной налоговой выгоды, и установив, что представленные документы содержат недостоверные сведения и не подтверждают реальность хозяйственных операций между налогоплательщиком и его контрагентами. 3 Приведенные в жалобе доводы о недоказанности совершения сделок в целях получения необоснованной налоговой выгоды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