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09.02.2021, оставленным без изменения постановлением Девятого арбитражного апелляционного суда от 08.04.2021, в удовлетворении заявленного требования отказано. 2 Постановлением Арбитражного суда Московского округа от 20.07.2021 указанные судебные акты оставлены без изменения. Общество просит отменить обжалуемые судебные акты, заявленные требования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374, 375, 378.2 Налогового кодекса Российской Федерации, суды отказали в удовлетворении требований, признав правомерным начисление недоимки по налогу на имущество организаций исходя из кадастровой стоимости спорных помещений, установленной Постановлением Правительства Москвы от 29.11.2016 № 790-ПП «Об утверждении кадастровой стоимости и удельных показателей кадастровой стоимости объектов капитального строительства в городе Москве по состоянию на 01.01.2016». Доводы жалобы повторяют позицию общества по делу, являлись предметом рассмотрения судов и получили исчерпывающую правовую оценку, не согласиться с которой оснований не имеется.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