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«Управление координации строительства и реконструкции «Хамовники» (далее – Управление) обратилось в Арбитражный суд Тверской области с иском о взыскании с общества с ограниченной ответственностью «ПромСтройКонструкция» (далее – Общество) 9 744 356 рублей 36 копеек задолженности по договорам подряда от 12.08.2014 № 12/08/14-дп-ЛЖ (далее – договор от 12.08.2014), от 01.09.2014 № 01/09/14-дпЛЖ (далее – договор от 01.09.2014) и от 17.09.2014 № 17/09/14-дпЛЖ (далее – договор от 17.09.2014), 9 246 415 рублей 64 копеек неустойки, 2 727 590 рублей 24 копеек процентов за пользование чужими денежными средствами. При рассмотрении дела в суде первой инстанции индивидуальный предприниматель Колесникова Антонина Валерьевна (далее – Предприниматель), в порядке статьи 48 Арбитражного процессуального кодекса Российской Федерации (далее – АПК РФ), заявила ходатайство о 2 замене в порядке процессуального правопреемства Управления на Предпринимателя. Определением Арбитражного суда Тверской области от 31.10.2019 ходатайство Предпринимателя о процессуальной замене удовлетворено. Произведена замена Управления на Предпринимателя в части требований о взыскании с ответчика 3 301 040 рублей 36 копеек задолженности и 4 646 236 рублей 50 копеек неустойки по договору от 01.09.2014; 4 904 671 рубля задолженности и 4 257 264 рублей 58 копеек неустойки по договору от 17.09.2014; 190 768 рублей задолженности и 336 494 рублей 50 копеек неустойки по договору от 12.08.2014. Предприниматель в суде первой инстанции в порядке статьи 49 АПК РФ уточнил исковые требования, в связи с чем просил взыскать с ответчика 3 301 040 рублей 36 копеек задолженности по договору от 01.09.2014; 6 733 546 рублей 51 копейку – по договору от 17.09.2014, из них: 4 904 671 рубль долга, 1 828 875 рублей 51 копейку процентов за пользование чужими денежными средствами за период с 11.07.2015 по 17.12.2019; 269 271 рубль 31 копейку – по договору от 12.08.2014, из них: 190 768 рублей долга, 78 503 рубля 31 копейку процентов за пользование чужими денежными средствами за период с 07.02.2015 по 17.12.2019. Решением Арбитражного суда Тверской области от 30.12.2019, оставленным без изменения постановлением Четырнадцатого арбитражного апелляционного суда от 26.05.2020, в удовлетворении требований Предпринимателю отказано по мотиву пропуска срока исковой давности; производство по делу № А66-5986/2019 в части требований Управления к Обществу прекращено; с Предпринимателя в доход федерального бюджета взыскано 74 519 рублей государственной пошлины. Постановлением Арбитражного суда Северо-Западного округа от 20.08.2020, решение от 30.12.2019 и постановление от 26.05.2020 отменены в части отказа в удовлетворении требований Предпринимателя; в указанной части дело направлено на новое рассмотрение в суд первой инстанции; в остальной части решение от 30.12.2019 и постановление от 26.05.2020 оставлены без изменения. При новом рассмотрении дела, решением Арбитражного суда Тверской области от 16.03.2021, оставленным без изменения постановлением Четырнадцатого арбитражного апелляционного суда от 05.07.2021 и постановлением Арбитражного суда Северо-Западного округа от 13.10.2021, требования Предпринимателя удовлетворены частично: с Общества в пользу Предпринимателя взыскано 7 483 361 рубль 35 копеек задолженности и 2 189 470 рублей 44 копейки процентов за пользование чужими денежными средствами, а также 5 482 рубля 20 копеек в возмещение расходов по уплате государственной пошлины; в остальной части в удовлетворении иска отказано. Не согласившись с указанными актами, Общество обратилось в Верховный Суд Российской Федерации с кассационной жалобой, одновременно заявив ходатайство о зачете государственной пошлины. 3 На основании статьи 104 АПК РФ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подлежит уплате государственная пошлина в размере 3 000 рублей.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Рассмотрев заявление Общества и представленные в его обоснование документы, суд приходит к выводу о наличии оснований для его удовлетворения. Руководствуясь статьями 104, 184 и 185 Арбитражного процессуального кодекса Российской Федерации и статьей 333.21,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«ПромСтройКонструкция» о зачете государственной пошлины удовлетворить. Считать уплаченной государственную пошлину за рассмотрение кассационной жалобы Верховным Судом Российской Федерации в размере 3 000 рублей, перечисленную по платежному поручению от 10.12.2020 № 462.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