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05.03.2020 Дробашенко Алексей Сергеевич признан несостоятельным (банкротом), в отношении него введена процедура реализации имущества. Шорор Александр Олегович обратился в суд с заявлением о включении в реестр требований кредиторов задолженности в размере 37 707 929 рублей 62 копеек. Определением Арбитражного суда города Москвы от 09.04.2021 восстановлен срок на подачу заявления, требования Шорора А.О. включены в третью очередь реестра требований кредиторов должника в размере 28 170 000 рублей - долг, 4 942 789 рублей 25 копеек - проценты за пользование чужими денежными средствами, 31 931 рубля 29 копеек - расходы по оплате госпошлины, 5 563 209 рублей 08 копеек - проценты за пользование чужими денежными средствами; требование в размере 7 959 473 рублей 67 копеек признано обоснованным с удовлетворением за счет имущества, оставшегося после удовлетворения требований кредиторов, включенных в реестр 2 требований кредиторов должника; во включении в реестр требований кредиторов должника требования в размере 13 854 рублей 10 копеек отказано. Постановлением Девятого арбитражного апелляционного суда от 22.06.2021 определение суда первой инстанции оставлено без изменения. Арбитражный суд Московского округа постановлением от 25.08.2021 указанные судебные акты оставил без изменения. Дробашенко Алексей Сергеевич обратился в Судебную коллегию Верховного Суда Российской Федерации с кассационной жалобой на принятые судебные акты в части восстановления срока на подачу заявления о включении требований в реестр требований кредиторов должника и включения требований в третью очередь реестра требований кредиторов должника,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статьей 16, 69 Арбитражного процессуального кодекса Российской Федерации, статьями 16, 71, 100, 142, 213.24 Федерального закона от 26.10.2002 № 127-ФЗ «О несостоятельности (банкротстве)», пунктом 15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и исходили из обоснованности требований, основанных на вступивших в законную силу судебных актах судов общей юрисдикции и не исполненных должником к моменту обращения с соответствующим заявлением, восстановив срок на подачу заявления ввиду уважительности причин его пропуска. Доводы, изложенные в кассационной жалобе, выводы судов не опровергают. Несогласие заявителя кассационной жалобы с выводами судов, основанными на установленных фактических обстоятельствах и оценке представленных доказательств, не свидетельствует о неправильном 3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Дробашенко Алексею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