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26.01.2021, арбитражный управляющий привлечен к административной ответственности, предусмотренной частью 3 статьи 14.13 КоАП РФ, с назначением наказания в виде штрафа в размере 30 000 рублей. Постановлением Одиннадцатого арбитражного апелляционного суда от 14.04.2021 решение суда первой инстанции отменено. По делу принят новый судебный акт.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Арбитражный суд Поволжского округа постановлением от 08.07.2021 оставил без изменения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3 Дзилихова А.Л. (далее – должник) в рамках дела о банкротстве № А49-14111/2016 Арбитражного суда Пензенской области. Выявленные нарушения послужили основанием для составления административным органом в отношении арбитражного управляющего протокола от 25.09.2020 № 00265820 и обращения в Арбитражный суд Пензенской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КоАП РФ. Суд первой инстанции, руководствуясь положениями Федерального закона № 127-ФЗ от 22.10.2002 «О несостоятельности (банкротстве)», пришел к выводу о возможности квалификации правонарушения по части 3 статьи 14.13 КоАП РФ. Установив, что неисполнение арбитражным управляющим требований законодательства о банкротстве допущено повторно в течение периода, когда арбитражный управляющий считался подвергнутым административному наказанию по части 3 статьи 14.13 КоАП РФ, суд апелляционной инстанции отменил решение суда первой инстанции, согласившись с квалификацией административного органа и применением ответственности, предусмотренной частью 3.1 статьи 14.13 КоАП РФ. Суд округа поддержал указанные выводы и оставил без изменения постановление суда апелляционной инстанции. Доводы заявителя жалобы не могут быть приняты во внимание, поскольку квалификация правонарушения, данная судом апелляционной инстанции, не ухудшает положение лица, привлекаемого к ответственности, по сравнению с квалификацией правонарушения, указанной административным 4 органом в протоколе об административном правонарушении. Кроме того, постановлением суда апелляционной инстанции решение арбитражного суда первой инстанции отменено не по жалобе лица, привлекаемого к ответственности, а по жалобе потерпевшего. Существенных нарушений норм материального права и (или) норм процессуального права, повлиявших на исход дела, судами не допущено.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