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21.12.2020 в удовлетворении заявленных требований отказано. Постановлением Пятнадцатого арбитражного апелляционного суда от 25.03.2021 решение суда первой инстанции отменено в части отказа в удовлетворении требования о признании недействительным оспариваемого решения в части начисления 3 000 000 рублей налога на прибыль, 834 548,89 рублей пеней, 300 000 рублей штрафов, в указанной части производство по заявлению прекращено, в остальной части решение суда первой инстанции оставлено без изменения. Постановлением Арбитражного суда Северо-Кавказского округа от 07.07.2021 постановление суда апелляционной инстанции в части оставления без изменения решения суда первой инстанции оставлено в силе, в остальной части постановление суда апелляционной инстанции отменено и дело направлено на новое рассмотрение в Пятнадцатый арбитражный апелляционный суд. Общество просит отменить обжалуемые судебные акты в части отказа в удовлетворении заявленных требований, направить дело на новое рассмотрение в указанной части.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52 , 54 , 253 , 256 , 258 , 259 , 270 , 318 , 319 Налогового кодекса Российской Федерации, статей 198 , 201 Арбитражного процессуального кодекса Российской Федерации, суды отказали в удовлетворении требований в обжалуемой части, не установив правовых оснований для признания частично недействительным решения налогового органа и незаконным бездействия по своевременному пересчету пени по налогу на доходы физических лиц.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по доводам жалобы не установлено при установленных судами обстоятельствах устранения налоговым органом допущенных ошибок. Приведенные в жалобе доводы о неправильном определении налоговым органом амортизационной группы аппаратуры, что повлекло необоснованное доначисление налога, получили исчерпывающую правовую оценку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КБ "Метроспецтехника" (подробнее) ООО "КОНСТРУКТОРСКОЕ БЮРО "МЕТРОСПЕЦТЕХНИКА" (подробнее) Ответчики: Межрайонная Инспекция Федеральной налоговой службы №23 по Ростовской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