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10.02.2021, оставленным без изменения постановлением Восемнадцатого арбитражного апелляционного суда от 29.03.2021, в удовлетворении заявленных требований отказано. Постановлением Арбитражного суда Уральского округа от 11.08.2021 указанные судебные акты оставлены без изменения. Общество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использование обществом транспортного средства для осуществления регулярных перевозок пассажиров при отсутствии карты маршрута. Частью 4 статьи 11.33 Кодекса Российской Федерации об административных правонарушениях предусмотрена административная ответственность за использование для осуществления регулярных перевозок пассажиров автобуса, трамвая или троллейбуса при отсутствии карты маршрута регулярных перевозок в случае, если наличие такой карты является обязательным. Оценив представленные доказательства и установив, что общество осуществляло перевозку, не имея оригинала карты маршрута регулярных перевозок, руководствуясь положениями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Федерации», суды пришли к выводу о наличии в действиях общества состава правонарушения, ответственность за совершение которого предусмотрена частью 4 статьи 11.33 Кодекса Российской Федерации об административных правонарушениях. Процедура и срок давности привлечения к административной ответственности соблюдены, административное наказание в виде штрафа назначено в пределах санкции нормы. Изложенные в жалобе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актах. Несогласие заявителя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"Автобан" (подробнее) Ответчики: ТОГАН по Челябинской области Уральского МУГАН Ространснадзора (подробнее) Иные лица: Арбитражный суд Уральского округа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