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Чувашской Республики – Чувашии решением от 16.12.2020, оставленным без изменения постановлением Первого арбитражного 2 апелляционного суда от 05.04.2021 и постановлением Арбитражного суда Волго-Вятского округа от 14.07.2021, освободил арбитражного управляющего от административной ответственности, ограничившись устным замечанием. Арбитражный управляющий обратился в Верховный Суд Российской Федерации с кассационной жалобой, в которой, оспаривая судебные акты по одному эпизоду, просит их отменить, ссылаясь на нарушения судами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обращения в арбитражный суд послужили выводы административного органа о том, что арбитражный управляющий не исполнил требования пункта 4 статьи 61.1 Федерального закона от 26.10.2002 № 127-ФЗ «О несостоятельности (банкротстве)» (далее — Закон о банкротстве), а именно: сведения о вынесении судебного акта по результатам рассмотрения заявления о признании сделки недействительной размещены на сайте Единого федерального реестра сведений о банкротстве с нарушением установленного срока. Частью 3 статьи 14.13 КоАП РФ предусмотрена административная ответственность за неисполнение арбитражным управляющим, реестродержателем, организатором торгов, оператором электронной площадки либо руководителем временной администрации кредитной или иной финансовой организации обязанностей, установленных законодательством о несостоятельности (банкротстве), если такое действие (бездействие) не содержит уголовно наказуемого деяния. Оценив представленные доказательства, руководствуясь положениями Закона о банкротстве, суды, установив наличие в действиях арбитражного управляющего состава правонарушения, предусмотренного частью 3 статьи 14.13 КоАП РФ, пришли к выводу о возможности применения положения о малозначительности совершенного административного правонарушения и 3 освободили арбитражного управляющего от административного наказания, ограничившись устным замечанием. Доводы жалобы были предметом исследования судов и мотивированно отклонены, не подтверждают существенных нарушений норм материального и (или) процессуального права, которые могли бы повлиять на исход дела и являться достаточным основанием для пересмотра обжалуемых судебных актов в порядке кассационного производства.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