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25.12.2020, оставленным без изменения постановлением Девятого арбитражного апелляционного суда от 14.04.2021 и постановлением Арбитражного суда Московского округа от 15.07.2021, в иске отказано.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По смыслу положений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Исходя из доводов жалобы и принятых по делу судебных актов оснований для удовлетворения жалобы не установлено. Оценив представленные доказательства, принимая во внимание установленные Арбитражный судом Ивановской области обстоятельства по делу № А17-7745/2019, руководствуясь положениями Гражданского кодекса Российской Федерации, Закона Российской Федерации от 27.11.1992 № 4015-1 «Об организации страхового дела в Российской Федерации», суды отказали в иске, отметив, что истцом выбран ненадлежащий способ защиты права. 3 Доводы заявителя жалобы сводятся к несогласию с выводами судов и иной оценки доказательств, в связи с чем не могут служить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