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02.02.2021, оставленным без изменения постановлением Второго арбитражного 2 апелляционного суда от 15.04.2021 и постановлением Арбитражного суда Волго-Вятского округа от 29.07.2021, заявленное требование удовлетворено. Общество обратилось в Верховный Суд Российской Федерации с кассационной жалобой, в которой просит судебные акты судов первой и апелляционной инстанций отменить, ссылаясь на допущенные, по его мнению, нарушения норм материального и процессуального права. Исходя из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деятельности по управлению многоквартирными домами с нарушением лицензионных требований. Частью 2 статьи 4.1.3 КоАП РФ установлена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Гражданского кодекса Российской Федерации, Жилищного кодекса Российской Федерации, Правил содержания общего имущества в многоквартирном доме, утвержденными постановлением Правительства Российской Федерации от 13.08.2006 № 491, постановления Правительства Российской Федерации от 28.10.2014 № 1110 «Об утверждении Положения о лицензировании деятельности по управлению многоквартирными домами», Правил пользования газом в части обеспечения безопасности при использовании и содержании внутридомового и внутри квартирного газового оборудования при предоставлении коммунальной услуги по газоснабжению, утвержденные постановлением Правительства Российской Федерации от 14.05.2013 № 410, Минимального перечня услуг и работ, необходимых для обеспечения надлежащего содержания общего имущества в многоквартирном доме, 3 утвержденного постановлением Правительства Российской Федерации от 03.04.2013 № 290 , арбитражный суд пришел к выводу об отсутствии в действиях общества состава вменяемого административного правонарушения. Суд апелляционной инстанции, руководствуясь в том числе положениями Федерального закона от 04.05.2011 № 99-ФЗ «О лицензировании отдельных видов деятельности», разъяснениями, приведенными в постановлении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установив факт ненадлежащего содержания обществом общедомового имущества управляемых им домов, не согласился с выводами арбитражного суда об отсутствии в действиях общества состава административного правонарушения, вместе с тем признал совершенное правонарушение малозначительным. Данный вывод был поддержан судом округа. Доводы жалобы, были предметом исследования судов, по сути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