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учреждение 27.10.2021 направило в Верховный Суд Российской Федерации кассационную жалобу и одновременно заявило ходатайство о восстановлении пропущенного срока.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2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Принимая во внимание положения части 3 статьи 291.5 Арбитражного процессуального кодекса Российской Федерации, согласно которым возвращение кассационной жалобы не препятствует повторному обращению с кассационной жалобой после устранения обстоятельств, послуживших основанием для ее возвращения, учитывая своевременное направление первоначальной жалобы (08.10.2021), а также оперативное устранение заявителем причин, послуживших основанием для возврата первоначально поданной жалобы, в целях обеспечения процессуальных гарантий, вытекающих из права на судебную защиту, включающего и право на обжалование судебных постановлений, ходатайство о восстановлении срока подлежит удовлетворению, пропущенный срок подлежит восстановлению. Руководствуясь статьями 117, 184, 185,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Федерального государственного казенного военного образовательного учреждения высшего образования «Санкт-Петербургский военный институт войск национальной гвардии Российской Федерации» о восстановлении пропущенного срока удовлетворить, срок на подачу кассационной жалобы восстановить.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