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Литвиненко Елены Михайловны должник обратилась в Арбитражный суд города Москвы с заявлением, уточненным в порядке статьи 49 Арбитражного процессуального кодекса Российской Федерации, об исключении из конкурсной массы должника денежных средств в размере 2 089 267 рублей 85 копеек, необходимых для покупки единственного жилья. Определением Арбитражного суда города Москвы от 25.01.2021 в удовлетворении заявления отказано. Постановлением Девятого арбитражного апелляционного суда от 19.04.2021 определение суда первой инстанции оставлено без изменения. Арбитражный суд Московского округа постановлением от 27.07.2021 указанные судебные акты оставил без изменения. Литвиненко Елена Михайловна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отсутствия оснований для исключения из конкурсной массы спорных денежных средств с учетом соблюдения баланса интересов должника, лиц, находящихся на его иждивении, с одной стороны, и кредиторов, имеющих право на получение удовлетворения за счет конкурсной массы, с другой стороны.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Литвиненко Елене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