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Володин О.Г. обратился в арбитражный суд с заявлением об отстранении Палюткина Александра Евгеньевича от исполнения обязанностей конкурсного управляющего должником. Определением арбитражного суда первой инстанции от 30.06.2020, оставленным без изменения постановлениями судов апелляционной инстанции от 19.01.2021 и округа от 20.04.2021, в удовлетворении заявления отказано. В кассационной жалобе, поданной в Верховный Суд Российской Федерации, заявитель просит отменить обжалуемые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2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данный вопрос, суды первой и апелляционной инстанций, оценив представленные доказательства по правилам главы 7 Арбитражного процессуального кодекса Российской Федерации, руководствовались положениями статей 20.3, 20.4, 60, 129, 131, 145 Федерального закона от 26.10.2002 № 127-ФЗ «О несостоятельности (банкротстве)» и исходили из недоказанности наличия оснований для отстранения конкурсного управляющего Палюткина А.Е. от исполнения возложенных на него обязанностей, с чем впоследствии согласился суд округа. Доводы, изложенные в кассационной жалобе, выводы судов не опровергают,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Е.Н. Зарубина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