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23.12.2020, оставленным без изменения постановлением Седьмого арбитражного апелляционного суда от 29.03.2021, в иске отказано. Постановлением Арбитражного суда Западно-Сибирского округа от 15.07.2021 указанные судебные акты оставлены без изменения. 2 Учреждение обратилось в Верховный Суд Российской Федерации с кассационной жалобой, в которой просит, не отменяя обжалуемые судебные акты, изменить мотивировочную часть решения суда первой инстанции, отказав в удовлетворении иска в связи с непредставлением исполнительной документации, предъявлением к оплате работ по технологическому содержанию дорог, которые истец обязан выполнять за свой счет.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711, 740, 746, 753 Гражданского кодекса Российской Федерации, суды в иске отказали, признав, что задолженность отсутствует в связи с оплатой авансовых платежей, превышающих стоимость выполненных работ. Доводы жалобы сводятся к предположению о возможном нарушении прав учреждения, а также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