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30.12.2020 в иске отказано. Постановлением Двенадцатого арбитражного апелляционного суда от 05.03.2021 решение суда первой инстанции отменено, иск удовлетворен. 2 Постановлением Арбитражного суда Поволжского округа от 30.06.2021 постановление суда апелляционной инстанции оставлено без изменения. Администрация обратилась в Верховный Суд Российской Федерации с кассационной жалобой на постановление суда апелляционной инстанции и постановление суда округа,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Руководствуясь положениями статей 309, 310, 740, 763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 апелляционной инстанции отменил решение суда первой инстанции, иск удовлетворил, признав необоснованными действия заказчика по одностороннему отказу от исполнения контракта в отсутствие доказательств вины подрядчика в ненадлежащем исполнении обязательств. Суд округа согласился с выводами суда апелляционной инстанции. Доводы жалобы были предметом исследования судов апелляционной и кассационной инстанций и получили исчерпывающую правовую оценку с учетом установленных обстоятельств и представленных доказательств,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