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первой инстанции от 18.09.2020, оставленным без изменения постановлениями судов апелляционной инстанции от 09.02.2021 и округа от 29.06.2021, должник признан несостоятельным (банкротом), в отношении него открыта процедура конкурсного производства. В кассационной жалобе, поданной в Верховный Суд Российской Федерации, заявитель просит отменить обжалуемые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2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руководствовались положениями статей 3, 53, 62, 75 Федерального закона от 26.10.2002 № 127-ФЗ «О несостоятельности (банкротстве)» и исходили из наличия оснований для признания должника банкротом и открытия в отношении него процедуры конкурсного производства, учитывая имеющиеся у должника признаки банкротства и отсутствие оснований (с учетом мнения кредиторов) для введения какой-либо иной процедуры банкротства. Доводы заявителя кассационной жалобы были предметом рассмотрения судов, их выводы не опровергают,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судебных актов в кассационном порядке.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Е.Н. Зарубина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