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Воронков Роман Витальевич обратился в арбитражный суд с заявлением о включении в реестр требований требования в сумме 6 599 957,50 руб. долга и штрафных санкций как обеспеченных залогом имуществом должника. Определением арбитражного суда первой инстанции от 23.11.2020 Воронков Р.В. заменен на правопреемника – Никулина Михаила Алексеевича в связи с уступкой заявленного требования на основании договора от 16.09.2019; требования Никулина М.А. в сумме 5 875 192,05 руб. долга, 410 940,11 руб. процентов и 253 029,53 руб. пеней признаны подлежащими удовлетворению в очередности, предшествующей распределению ликвидационной квоты; отказано в признании требований обеспеченных залогом; прекращено производство по заявлению в части требований о включении в реестр 2 требований кредиторов 46 895,81 руб. государственной пошлины и 13 900 руб. судебных расходов на оценку. Постановлением суда апелляционной инстанции от 08.04.2021, оставленным без изменения постановлением суда округа от 29.06.2021, определение от 23.11.2020 изменено в части установления требований Никулина М.А. в составе требований кредиторов, подлежащих удовлетворению в очередности, предшествующей распределению ликвидационной квоты; требования Никулина М.А. в сумме 5 875 192,05 руб. долга, 410 940,11 руб. процентов и 253 029,53 руб. пеней включены в третью очередь реестра требований кредиторов как обеспеченные залогом имущества должника, при этом штрафные санкции учитываются отдельно и подлежат удовлетворению после погашения основной суммы долга и процентов. В кассационных жалобах, поданных в Верховный Суд Российской Федерации, заявители просят отменить обжалуемые судебные акты,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Изменяя определение суда первой инстанции, суд апелляционной инстанции, повторно оценив представленные доказательства по правилам главы 7 Арбитражного процессуального кодекса Российской Федерации, руководствовался статьями 361, 363, 365 Гражданского кодекса Российской Федерации, статьями 19, 100, 134, 137 Федерального закона от 26.10.2002 № 127-ФЗ «О несостоятельности (банкротстве)», правовой позицией, изложенной в пунктах 6, 6.1 и 6.2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и исходил из недоказанности наличия оснований для субординации требования по корпоративным основаниям, с чем впоследствии согласился суд округа. 3 Доводы заявителей кассационных жалоб выводы судов апелляционной инстанции и округа не опровергают, не подтверждают наличие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кассационных жалоб направлены на переоценку установленных фактических обстоятельств, что не входит в полномочия суда при кассационном производстве.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Е.Н. Зарубина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