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«Испанобелюкс» (далее – Общество) обратилось в Арбитражный суд города Москвы с иском к Архипову Сергею Михайловичу о взыскании 3 384 217 рублей 29 копеек убытков. Решением Арбитражного суда города Москвы от 29.12.2020, оставленным без изменения постановлением Девятого арбитражного апелляционного суда от 18.03.2021 и постановлением Арбитражного суда Московского округа от 30.06.2021,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им представлены достаточные доказательства, подтверждающие наличие причинно-следственной связи между причиненными убытками и действиями ответчика; считает ошибочными выводы судов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Архипов С.М. в период с 25.01.2013 по 12.12.2017 являлся единоличным исполнительным органом Общества. В обоснование заявленных требований истец указал, что ответчик в 2017 году произвел отгрузку товара обществу с ограниченной ответственностью «Мособлпоставка» (далее – Компания), что следует из неподписанных со стороны получателя товарных накладных на общую сумму 4 037 857 рублей 17 копеек. Согласно учетной документации размер неоплаченной Компанией задолженности составляет 3 384 217 рублей 29 копеек. По мнению истца, ответчик, как директор Общества, является лицом, ответственным за действия работников организации при передаче товара по неподписанным со стороны покупателя товарным накладным, в связи с чем с него (ответчика) подлежат взысканию убытки в размере, соответствующем стоимости неоплаченного покупателем товара.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3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оценив по правилам статьи 71 АПК РФ представленные доказательства, руководствуясь названными выше положениями действующего законодательства, регулирующими спорные отношения, суды отказали в удовлетворении заявленных требований, придя к выводам об отсутствии необходимой совокупности условий для привлечения Архипова С.М. к гражданско-правовой ответственности в виде возмещения убытков, указав на недоказанность выдачи ответчиком товарно-материальных ценностей, принадлежащих истцу, неустановленным лицам; на отсутствие доказательств недостачи товара на момент увольнения ответчика с должности директора Общества ,отметив, что последующая инвентаризация товарно-материальных ценностей, иного имущества Общества производилась без участия Архипова С.М. Кроме того, руководствуясь статьями 195, 196, 199, 200 Гражданского кодекса, суды признали пропущенным срок исковой давности по заявленным требованиям, основанных на товарных накладных, датированных ранее 01.10.2017, в то время как исковое заявления поступило в суд 01.10.2020.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«Испанобелюкс»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