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Ильдарханова Р.Г. (далее – заёмщик) обратилась в суд с заявлением о включении в реестр требований кредиторов должника (далее – реестр) задолженности в размере 1 400 030 рублей 60 копеек. Определением Арбитражного суда Республики Татарстан от 08.09.2020, оставленным без изменения постановлениями Одиннадцатого арбитражного апелляционного суда от 30.12.2020 и Арбитражного суда Поволжского округа от 01.07.2021, в удовлетворении заявления отказано. В кассационных жалобах, поданных в Верховный Суд Российской Федерации, заявители просят отменить названные судебные акты и направить дело на новое рассмотрение в Арбитражном суде Республики Татарстан.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71, 100, 142, 189.85 Федерального закона от 26.10.2002 № 127-ФЗ «О несостоятельности (банкротстве)», правомерно исходили из необоснованности заявленного требования в связи с чем отказали в его удовлетворении.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кассационных жалоб не установлено.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Ильдархановой Раисе Гаязовне, Фаттаховой Гулии Рамилевне, Андреевой Диле Музиповне и Фаттахову Марселю Музиповичу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