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Менцель Э.А. обратился в суд с заявлением о включении в реестр требований кредиторов должника (далее – реестр) требований на сумму 1 087 675 рублей. Определением Арбитражного суда Республики Коми от 10.09.2020, оставленным без изменения постановлениями Второго арбитражного апелляционного суда от 22.01.2021 и Арбитражного суда Волго-Вятского округа от 07.07.2021, требования Менцеля Э.А. признаны обоснованными и подлежащими удовлетворению после погашения требований, указанных в пункте 4 статьи 142 Федерального закона от 26.10.2002 № 127-ФЗ «О несостоятельности (банкротстве)» (далее – Закон о банкротстве),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Федерации. В кассационной жалобе, поданной в Верховный Суд Российской Федерации, заявитель просит изменить названное определение суда первой инстанции, отменить постановления судов первой инстанции и округа, включить требования Менцеля Э.А.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письменной позиции конкурного управляющего должником таких оснований не установлено. Разрешая спор в обжалуемой части, суды, руководствуясь положениями статей 71 и 100 Закона о банкротстве, позициями, изложенными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утвержденном Президиумом Верховного Суда Российской Федерации 29.01.2020, исходили из наличия оснований для субординации требований Менцеля Э.А.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Менцелю Эриху Артуровичу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