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11.12.2020, оставленным без изменения постановлением Двадцать первого арбитражного апелляционного суда от 12.03.2021, заявленные требования удовлетворены. 2 Постановлением Арбитражного суда Центрального округа от 26.07.2021 указанные судебные акты отменены, дело направлено на новое рассмотрение в арбитражный суд первой инстанции. Учреждение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определения статуса учреждения в целях признания его субъектом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