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12.04.2021, оставленным без изменения постановлением Пятнадцатого арбитражного апелляционного суда от 09.06.2021 и постановлением Арбитражного суда Северо-Кавказского округа от 03.08.2021, иск удовлетворен. В кассационной жалобе, поданной в Верховный Суд Российской Федерации, управление, ссылаясь на несоответствие выводов судов 2 фактическим обстоятельствам дела,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муниципального контракта от 10.11.2015 № 22 (далее – контракт), учитывая обстоятельства, установленные вступившим в законную силу решением Арбитражного суда Краснодарского края от 31.10.2018 по делу № А32-19603/2017, суды первой и апелляционной инстанций установили, что в проектной документации к контракту имелись несоответствия, приведшие к невозможности выполнения определенных проектом работ в их последовательности в соответствии с техническим заданием, о чем общество (подрядчик) неоднократно извещало управление (заказчик) и предлагало ему внести необходимые изменения в документацию; выполненные обществом дополнительные работы являлись необходимыми для обеспечения годности и прочности результата работ; доказательств того, что обществом фактически выполнены самостоятельные по отношению к контракту работы, не представлено, равно как и доказательств недобросовестного поведения подрядчика и злоупотребления правом при участии в аукционе. При таких обстоятельствах, учитывая, что управление доказательств наличия обоснованных причин для отказа от подписания актов приемки выполненных работ не представило, о недостатках работ при их приемке не заявило; контракт исполнен и его цель достигнута, объект введен в эксплуатацию, руководствуясь статьями 711, 721, 740, 743, 746, 753, 763 Гражданского кодекса Российской Федерации, суды пришли к выводу о наличии оснований для удовлетворения иска.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строительства администрации муниципального образования город-курорт Геленджик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