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13.11.2020, оставленным без изменения постановлением Девятого арбитражного апелляционного суда от 26.02.2021, в удовлетворении заявленных требований отказано. Постановлением Арбитражного суда Московского округа от 29.06.2021 указанные судебные акты оставлены без изменения. Предприниматель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предпринимателем для осуществления регулярных перевозок пассажиров транспортного средства при отсутствии карты маршрута регулярных перевозок, наличие которой является обязательным.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руководствовался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правонарушениях, суд округа 3 Процедура и срок давности привлечения к административной ответственности соблюдены, административное наказание в виде штрафа назначено в пределах санкции нормы. Доводы жалобы были предметом исследования судов и получили исчерпывающую правовую оценку с учетом конкретных установленных обстоятельств, свидетельствующих об осуществлении предпринимателем регулярных перевозок пассажиров, не согласиться с которой по доводам жалобы оснований не имеется. Квалификации правонарушения не противоречит правовой позиции, изложенной в определении Верховного Суда Российской Федерации от 01.10.2019 № 310-ЭС19-10668. Ссылка в жалобе на отсутствие у водителя возможности реализовать свое право на защиту не может быть основанием для отмены судебных актов, поскольку он в рассматриваемом случае к административной ответственности не привлекался. Доказательств нарушения прав и законных интересов предпринимателя не представлено.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