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«Юридическая компания «Актив» удовлетворить. Срок подачи кассационной жалобы на решение Арбитражного суда города Москвы от 16.07.2020, постановление Девятого арбитражного апелляционного суда от 24.11.2020 и постановление Арбитражного суда Московского округа от 10.03.2021 по делу № А40-40380/2020 восстановить.Судья Верховного Суда Российской Федерации Н.С. Чучунова Суд: Верховный Суд РФ (подробнее) Истцы: ООО "ЮРИДИЧЕСКАЯ КОМПАНИЯ "АКТИВ" (подробнее) Ответчики: МИФНС 46 по городу Москве (подробнее) Судьи дела: Чучунова Н.С. (судья) (подробнее) Последние документы по делу: Определение от 20 сентября 2021 г. по делу № А40-40380/2020 Определение от 7 июня 2021 г. по делу № А40-40380/2020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