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07.04.2021, оставленным без изменения постановлением Восемнадцатого арбитражного апелляционного суда от 02.06.2021, в удовлетворении заявленных требований отказано. Постановлением Арбитражного суда Уральского округа от 25.08.2021 указанные судебные акты изменены, признаны незаконными и отменены постановления от 05.03.2020 №№ 08ОГ/01-28-5-1-2020, 08ОГ/01-29-5-1-2020, 08ОГ/01-30-5-1-2020, в остальной части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статей 161, 162 Жилищного кодекса Российской Федерации, Правил содержания общего имущества в МКД, утвержденных постановлением Правительства Российской Федерации от 13.08.2006 № 491,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утвержденных постановлением Правительства Российской Федерации от 14.05.2013 № 410, 3 суды пришли к выводу о наличии в действиях общества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правонарушениях, установив нарушение лицензионных требований при управлении многоквартирными домами, выразившееся в ненадлежащем содержании общего имущества, в том числе внутридомового газового оборудования. При этом суд округа признал, что вынесение по результатам одной и той же проверки нескольких постановлений свидетельствует в рассматриваемом случае о повторном привлечении общества к административной ответственности за одно и то же административное правонарушение, в связи с чем изменил решение суда первой инстанции и постановление суда апелляционной инстанции, признав незаконными три постановления из четырех. Признавая вину общества в совершенном правонарушении, суды не усмотрели объективных препятствий для соблюдения правил и норм, за нарушение которых предусмотрена административная ответственность. Процедура и срок давности привлечения к ответственности соблюдены. Оснований для применения статьи 2.9 Кодекса Российской Федерации об административных правонарушениях не установлено. Доводы жалобы получили исчерпывающую правовую оценку в обжалуемых судебных актах с учетом установленных обстоятельств, не согласиться с которой оснований не имеется. При этом дело рассмотрено компетентным административным органом по месту совершения деяния, заключающегося в ненадлежащем выполнении обязанностей по управлению жилыми домами, то есть по месту нахождения жилого фонда, что соответствует разъяснениям, изложенным в пункте 3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правонарушениях». 4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