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17.12.2020, оставленным без изменения постановлением Четырнадцатого арбитражного апелляционного суда от 18.03.2021 и постановлением Арбитражного суда Северо-Западного округа от 07.07.2021,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Тверской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702, 779, 781, 782 Гражданского кодекса Российской Федерации, суды первой и апелляционной инстанций пришли к выводу о недоказанности обществом обстоятельств, на которых основаны исковые требования, и отказали в их удовлетворении. С указанными выводами впоследствии согласился суд округа. Доводы заявителя являлись предметом рассмотрения судов, получили правовую оценку и по существу направлены на иную оценку доказательств и фактических обстоятельств дела. Изложенные в кассационной жалобе доводы не опровергают выводы судов и не подтверждают существенных нарушений судами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«Юридическая мастерская «СДЛ»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