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31.12.2020, оставленным без изменения постановлением Двенадцатого арбитражного апелляционного суда от 01.04.2021, в удовлетворении заявленных требований отказано. Постановлением Арбитражного суда Поволжского округа от 13.07.2021 указанные судебные акты оставлены без изменения. Предприниматель обратился в Верховный Суд Российской Федерации с кассационной жалобой на принятые по делу судебные акты, ссылаясь на допущенные судами нарушения норм действующего законодательства.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заявленных требований, суды, руководствуясь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закона от 03.07.2016 3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пришли к выводу о пропуске предпринимателем трехлетнего срока на возврат излишне уплаченных страховых взносов. При этом суды исходили из того, что указанный срок исчисляется с момента уплаты предпринимателем страховых взносов (23.03.2017). Доводы заявителя относительно определения срока на возврат излишне уплаченных страховых взносов не могут служить основанием для отмены обжалуемых судебных актов, поскольку противоречат правовой позиции Верховного Суда Российской Федерации, изложенной в определении от 21.05.2021 № 309-ЭС20-22962.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