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суда в информационно- телекоммуникационной сети «Интернет», 21.10.2021 – с пропуском сроков, установленных частями 1 и 2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(по истечении шестимесячного срока на подачу жалобы).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2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А76-25474/2018 является постановление Арбитражного суда Уральского округа от 11.02.2021, вступившее в законную силу, согласно части 5 статьи 289 АПК РФ, со дня его принятия – 11.02.2021, следовательно, двухмесячный срок на подачу кассационной жалобы истек 12.04.2021 (с учетом выходного дня), шестимесячный срок на подачу жалобы истек 11.08.2021, тогда как жалоба подана 21.10.2021. Одновременно с подачей жалобы Мельником Д.Ю. заявлено ходатайство о восстановлении пропущенного процессуального срока подачи кассационной жалобы. В качестве причины пропуска срока указано изменение судебной практики. Между тем, указанная заявителем причина не может продлевать процессуальный срок подачи кассационной жалобы. Кроме того, заявитель пропустил предельно допустимый шестимесячный срок подачи жалобы и не представил доказательств того, что, действуя разумно и добросовестно, он столкнулся с обстоятельствами, препятствующими своевременному обращению с кассационной жалобой. Поскольку двухмесячный срок и предельно допустимый шестимесячный срок подачи кассационной жалобы пропущен по причинам, зависящим от заявителя,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Мельнику Дмитрию Юрьевичу в удовлетворении ходатайства о восстановлении пропущенного процессуального срока подачи кассационной жалобы на постановление Восемнадцатого арбитражного апелляционного суда от 14.10.2020 и постановление Арбитражного суда Уральского округа от 11.02.2021 по делу № А76-25474/2018 Арбитражного суда Челябинской области. Жалобу Мельника Дмитрия Юрьевича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