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08.04.2021, оставленным без изменения постановлением суда апелляционной инстанции от 02.06.2021, производство по делу о банкротстве должника прекращено. Постановлением суда округа от 08.07.2021 названные судебные акты отменены, в удовлетворении ходатайства о прекращении производства по делу о банкротстве отказано. В кассационной жалобе, поданной в Верховный Суд Российской Федерации, заявитель просит обжалуемый судебный акт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2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судебные акты судов первой и апелляционной инстанций, суд округа руководствовался положениями статей 57, 70 Федерального закона от 26.10.2002 № 127-ФЗ «О несостоятельности (банкротстве)» и исходил из того, что судами не проверялись и не были учтены сведения о наличии у должника имущества (транспортных средств, дебиторской задолженности), не проведена оценка его стоимости. При таких условиях суд округа пришел к выводу, что прекращение производства по настоящему делу о банкротстве являлось преждевременным, в связи с чем отказал в удовлетворении соответствующего ходатайства. Основания не согласиться с выводами суда округа отсутствуют. Доводы заявителя кассационной жалобы выводы суда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